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CC" w:rsidRDefault="0005511B">
      <w:r>
        <w:rPr>
          <w:noProof/>
          <w:lang w:eastAsia="es-MX"/>
        </w:rPr>
        <w:drawing>
          <wp:inline distT="0" distB="0" distL="0" distR="0" wp14:anchorId="210B5E29" wp14:editId="3A301C51">
            <wp:extent cx="8115300" cy="52292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511B" w:rsidRDefault="0005511B">
      <w:r>
        <w:rPr>
          <w:noProof/>
          <w:lang w:eastAsia="es-MX"/>
        </w:rPr>
        <w:lastRenderedPageBreak/>
        <w:drawing>
          <wp:inline distT="0" distB="0" distL="0" distR="0" wp14:anchorId="7B2C627B" wp14:editId="381B1566">
            <wp:extent cx="7848600" cy="555307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511B" w:rsidRDefault="0005511B"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4478B798" wp14:editId="2A22B022">
            <wp:extent cx="8362950" cy="524827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05511B" w:rsidSect="0005511B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8C" w:rsidRDefault="00F56B8C" w:rsidP="00F56B8C">
      <w:pPr>
        <w:spacing w:after="0" w:line="240" w:lineRule="auto"/>
      </w:pPr>
      <w:r>
        <w:separator/>
      </w:r>
    </w:p>
  </w:endnote>
  <w:endnote w:type="continuationSeparator" w:id="0">
    <w:p w:rsidR="00F56B8C" w:rsidRDefault="00F56B8C" w:rsidP="00F5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8C" w:rsidRDefault="00F56B8C" w:rsidP="00F56B8C">
      <w:pPr>
        <w:spacing w:after="0" w:line="240" w:lineRule="auto"/>
      </w:pPr>
      <w:r>
        <w:separator/>
      </w:r>
    </w:p>
  </w:footnote>
  <w:footnote w:type="continuationSeparator" w:id="0">
    <w:p w:rsidR="00F56B8C" w:rsidRDefault="00F56B8C" w:rsidP="00F5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B8C" w:rsidRDefault="00F56B8C" w:rsidP="00F56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33750" cy="63817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OSAP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56B8C">
      <w:rPr>
        <w:color w:val="5B9BD5" w:themeColor="accent1"/>
        <w:sz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UNIDAD DE TRANSPARENCIA Y ACCESO A LA INFORMACIÓN PÚBLICA</w:t>
    </w:r>
  </w:p>
  <w:p w:rsidR="00F56B8C" w:rsidRDefault="00F56B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1B"/>
    <w:rsid w:val="0005511B"/>
    <w:rsid w:val="00204BCC"/>
    <w:rsid w:val="00F5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055D7"/>
  <w15:chartTrackingRefBased/>
  <w15:docId w15:val="{59B4868E-8AB9-4C83-86F4-E2CED2EC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B8C"/>
  </w:style>
  <w:style w:type="paragraph" w:styleId="Piedepgina">
    <w:name w:val="footer"/>
    <w:basedOn w:val="Normal"/>
    <w:link w:val="PiedepginaCar"/>
    <w:uiPriority w:val="99"/>
    <w:unhideWhenUsed/>
    <w:rsid w:val="00F56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rgbClr val="8FF3F5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rgbClr val="8FF3F5"/>
                </a:solidFill>
              </a:rPr>
              <a:t>SOLICITUDES RECIBIDAS EN LA UNIDAD DE TRANSPARENCIA ABRIL-JUNIO</a:t>
            </a:r>
            <a:r>
              <a:rPr lang="en-US" sz="1400" baseline="0">
                <a:solidFill>
                  <a:srgbClr val="8FF3F5"/>
                </a:solidFill>
              </a:rPr>
              <a:t> 2019</a:t>
            </a:r>
            <a:endParaRPr lang="en-US" sz="1400">
              <a:solidFill>
                <a:srgbClr val="8FF3F5"/>
              </a:solidFill>
            </a:endParaRPr>
          </a:p>
        </c:rich>
      </c:tx>
      <c:layout>
        <c:manualLayout>
          <c:xMode val="edge"/>
          <c:yMode val="edge"/>
          <c:x val="0.15285411198600174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rgbClr val="8FF3F5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36212445319335085"/>
          <c:y val="0.27342592592592591"/>
          <c:w val="0.60854221347331583"/>
          <c:h val="0.61917468649752117"/>
        </c:manualLayout>
      </c:layout>
      <c:barChart>
        <c:barDir val="bar"/>
        <c:grouping val="stack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Hoja1!$C$1:$G$1</c:f>
              <c:strCache>
                <c:ptCount val="5"/>
                <c:pt idx="0">
                  <c:v>RECURSO DE REVISION</c:v>
                </c:pt>
                <c:pt idx="1">
                  <c:v>ACCESO A LA INFORMACION</c:v>
                </c:pt>
                <c:pt idx="2">
                  <c:v>DATOS PERSONALES</c:v>
                </c:pt>
                <c:pt idx="3">
                  <c:v>SOLICITUD DE DERECHOS ARCO</c:v>
                </c:pt>
                <c:pt idx="4">
                  <c:v>DENUNCIAS CIUDADANAS</c:v>
                </c:pt>
              </c:strCache>
            </c:strRef>
          </c:cat>
          <c:val>
            <c:numRef>
              <c:f>Hoja1!$C$2:$G$2</c:f>
            </c:numRef>
          </c:val>
          <c:extLst>
            <c:ext xmlns:c16="http://schemas.microsoft.com/office/drawing/2014/chart" uri="{C3380CC4-5D6E-409C-BE32-E72D297353CC}">
              <c16:uniqueId val="{00000000-F505-4703-AB8A-56B98D2B7651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Hoja1!$C$1:$G$1</c:f>
              <c:strCache>
                <c:ptCount val="5"/>
                <c:pt idx="0">
                  <c:v>RECURSO DE REVISION</c:v>
                </c:pt>
                <c:pt idx="1">
                  <c:v>ACCESO A LA INFORMACION</c:v>
                </c:pt>
                <c:pt idx="2">
                  <c:v>DATOS PERSONALES</c:v>
                </c:pt>
                <c:pt idx="3">
                  <c:v>SOLICITUD DE DERECHOS ARCO</c:v>
                </c:pt>
                <c:pt idx="4">
                  <c:v>DENUNCIAS CIUDADANAS</c:v>
                </c:pt>
              </c:strCache>
            </c:strRef>
          </c:cat>
          <c:val>
            <c:numRef>
              <c:f>Hoja1!$C$3:$G$3</c:f>
            </c:numRef>
          </c:val>
          <c:extLst>
            <c:ext xmlns:c16="http://schemas.microsoft.com/office/drawing/2014/chart" uri="{C3380CC4-5D6E-409C-BE32-E72D297353CC}">
              <c16:uniqueId val="{00000001-F505-4703-AB8A-56B98D2B7651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Hoja1!$C$1:$G$1</c:f>
              <c:strCache>
                <c:ptCount val="5"/>
                <c:pt idx="0">
                  <c:v>RECURSO DE REVISION</c:v>
                </c:pt>
                <c:pt idx="1">
                  <c:v>ACCESO A LA INFORMACION</c:v>
                </c:pt>
                <c:pt idx="2">
                  <c:v>DATOS PERSONALES</c:v>
                </c:pt>
                <c:pt idx="3">
                  <c:v>SOLICITUD DE DERECHOS ARCO</c:v>
                </c:pt>
                <c:pt idx="4">
                  <c:v>DENUNCIAS CIUDADANAS</c:v>
                </c:pt>
              </c:strCache>
            </c:strRef>
          </c:cat>
          <c:val>
            <c:numRef>
              <c:f>Hoja1!$C$4:$G$4</c:f>
            </c:numRef>
          </c:val>
          <c:extLst>
            <c:ext xmlns:c16="http://schemas.microsoft.com/office/drawing/2014/chart" uri="{C3380CC4-5D6E-409C-BE32-E72D297353CC}">
              <c16:uniqueId val="{00000002-F505-4703-AB8A-56B98D2B7651}"/>
            </c:ext>
          </c:extLst>
        </c:ser>
        <c:ser>
          <c:idx val="3"/>
          <c:order val="3"/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Hoja1!$C$1:$G$1</c:f>
              <c:strCache>
                <c:ptCount val="5"/>
                <c:pt idx="0">
                  <c:v>RECURSO DE REVISION</c:v>
                </c:pt>
                <c:pt idx="1">
                  <c:v>ACCESO A LA INFORMACION</c:v>
                </c:pt>
                <c:pt idx="2">
                  <c:v>DATOS PERSONALES</c:v>
                </c:pt>
                <c:pt idx="3">
                  <c:v>SOLICITUD DE DERECHOS ARCO</c:v>
                </c:pt>
                <c:pt idx="4">
                  <c:v>DENUNCIAS CIUDADANAS</c:v>
                </c:pt>
              </c:strCache>
            </c:strRef>
          </c:cat>
          <c:val>
            <c:numRef>
              <c:f>Hoja1!$C$5:$G$5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F505-4703-AB8A-56B98D2B7651}"/>
            </c:ext>
          </c:extLst>
        </c:ser>
        <c:ser>
          <c:idx val="4"/>
          <c:order val="4"/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Hoja1!$C$1:$G$1</c:f>
              <c:strCache>
                <c:ptCount val="5"/>
                <c:pt idx="0">
                  <c:v>RECURSO DE REVISION</c:v>
                </c:pt>
                <c:pt idx="1">
                  <c:v>ACCESO A LA INFORMACION</c:v>
                </c:pt>
                <c:pt idx="2">
                  <c:v>DATOS PERSONALES</c:v>
                </c:pt>
                <c:pt idx="3">
                  <c:v>SOLICITUD DE DERECHOS ARCO</c:v>
                </c:pt>
                <c:pt idx="4">
                  <c:v>DENUNCIAS CIUDADANAS</c:v>
                </c:pt>
              </c:strCache>
            </c:strRef>
          </c:cat>
          <c:val>
            <c:numRef>
              <c:f>Hoja1!$C$6:$G$6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505-4703-AB8A-56B98D2B765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21171144"/>
        <c:axId val="521168520"/>
      </c:barChart>
      <c:catAx>
        <c:axId val="521171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8FF3F5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21168520"/>
        <c:crosses val="autoZero"/>
        <c:auto val="1"/>
        <c:lblAlgn val="ctr"/>
        <c:lblOffset val="100"/>
        <c:noMultiLvlLbl val="0"/>
      </c:catAx>
      <c:valAx>
        <c:axId val="521168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21171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52000">
          <a:srgbClr val="002060"/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FFC000"/>
                </a:solidFill>
              </a:rPr>
              <a:t>MEDIOS</a:t>
            </a:r>
            <a:r>
              <a:rPr lang="en-US" baseline="0">
                <a:solidFill>
                  <a:srgbClr val="FFC000"/>
                </a:solidFill>
              </a:rPr>
              <a:t> POR LOS QUE SE RECIBIERON  SOLICITUDES DE INFORMACIÓN</a:t>
            </a:r>
            <a:endParaRPr lang="en-US">
              <a:solidFill>
                <a:srgbClr val="FFC000"/>
              </a:solidFill>
            </a:endParaRPr>
          </a:p>
        </c:rich>
      </c:tx>
      <c:layout>
        <c:manualLayout>
          <c:xMode val="edge"/>
          <c:yMode val="edge"/>
          <c:x val="0.10147222222222224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3333CC">
            <a:alpha val="27000"/>
          </a:srgbClr>
        </a:solidFill>
        <a:ln>
          <a:noFill/>
        </a:ln>
        <a:effectLst/>
        <a:sp3d/>
      </c:spPr>
    </c:floor>
    <c:sideWall>
      <c:thickness val="0"/>
      <c:spPr>
        <a:noFill/>
        <a:ln>
          <a:solidFill>
            <a:schemeClr val="accent1"/>
          </a:solidFill>
        </a:ln>
        <a:effectLst/>
        <a:sp3d>
          <a:contourClr>
            <a:schemeClr val="accent1"/>
          </a:contourClr>
        </a:sp3d>
      </c:spPr>
    </c:sideWall>
    <c:backWall>
      <c:thickness val="0"/>
      <c:spPr>
        <a:noFill/>
        <a:ln>
          <a:solidFill>
            <a:schemeClr val="accent1"/>
          </a:solidFill>
        </a:ln>
        <a:effectLst/>
        <a:sp3d>
          <a:contourClr>
            <a:schemeClr val="accent1"/>
          </a:contourClr>
        </a:sp3d>
      </c:spPr>
    </c:backWall>
    <c:plotArea>
      <c:layout>
        <c:manualLayout>
          <c:layoutTarget val="inner"/>
          <c:xMode val="edge"/>
          <c:yMode val="edge"/>
          <c:x val="5.6692038495188099E-2"/>
          <c:y val="0.20300998833479147"/>
          <c:w val="0.9155301837270341"/>
          <c:h val="0.6488418635170604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Hoja1!$H$1</c:f>
              <c:strCache>
                <c:ptCount val="1"/>
                <c:pt idx="0">
                  <c:v>ESCRITO</c:v>
                </c:pt>
              </c:strCache>
            </c:strRef>
          </c:tx>
          <c:spPr>
            <a:gradFill flip="none" rotWithShape="1">
              <a:gsLst>
                <a:gs pos="0">
                  <a:srgbClr val="C7099E"/>
                </a:gs>
                <a:gs pos="50000">
                  <a:srgbClr val="FF99FF">
                    <a:shade val="67500"/>
                    <a:satMod val="115000"/>
                  </a:srgbClr>
                </a:gs>
                <a:gs pos="100000">
                  <a:srgbClr val="FF99FF">
                    <a:shade val="100000"/>
                    <a:satMod val="115000"/>
                  </a:srgbClr>
                </a:gs>
              </a:gsLst>
              <a:path path="rect">
                <a:fillToRect l="100000" t="100000"/>
              </a:path>
              <a:tileRect r="-100000" b="-100000"/>
            </a:gra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Hoja1!$H$2:$H$6</c:f>
              <c:numCache>
                <c:formatCode>General</c:formatCode>
                <c:ptCount val="2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7F-4694-9AE9-67D60DB35A3E}"/>
            </c:ext>
          </c:extLst>
        </c:ser>
        <c:ser>
          <c:idx val="1"/>
          <c:order val="1"/>
          <c:tx>
            <c:strRef>
              <c:f>Hoja1!$I$1</c:f>
              <c:strCache>
                <c:ptCount val="1"/>
                <c:pt idx="0">
                  <c:v>CORREO INSTITUCIONAL</c:v>
                </c:pt>
              </c:strCache>
            </c:strRef>
          </c:tx>
          <c:spPr>
            <a:solidFill>
              <a:srgbClr val="66CCFF">
                <a:alpha val="88000"/>
              </a:srgb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Hoja1!$I$2:$I$6</c:f>
              <c:numCache>
                <c:formatCode>General</c:formatCode>
                <c:ptCount val="2"/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7F-4694-9AE9-67D60DB35A3E}"/>
            </c:ext>
          </c:extLst>
        </c:ser>
        <c:ser>
          <c:idx val="2"/>
          <c:order val="2"/>
          <c:tx>
            <c:strRef>
              <c:f>Hoja1!$J$1</c:f>
              <c:strCache>
                <c:ptCount val="1"/>
                <c:pt idx="0">
                  <c:v>INFOMEX</c:v>
                </c:pt>
              </c:strCache>
            </c:strRef>
          </c:tx>
          <c:spPr>
            <a:gradFill flip="none" rotWithShape="1">
              <a:gsLst>
                <a:gs pos="0">
                  <a:srgbClr val="92D050"/>
                </a:gs>
                <a:gs pos="50000">
                  <a:srgbClr val="00FFCC">
                    <a:shade val="67500"/>
                    <a:satMod val="115000"/>
                  </a:srgbClr>
                </a:gs>
                <a:gs pos="100000">
                  <a:srgbClr val="00FFCC">
                    <a:shade val="100000"/>
                    <a:satMod val="115000"/>
                  </a:srgbClr>
                </a:gs>
              </a:gsLst>
              <a:path path="circle">
                <a:fillToRect t="100000" r="100000"/>
              </a:path>
              <a:tileRect l="-100000" b="-100000"/>
            </a:gra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Hoja1!$J$2:$J$6</c:f>
              <c:numCache>
                <c:formatCode>General</c:formatCode>
                <c:ptCount val="2"/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7F-4694-9AE9-67D60DB35A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624344368"/>
        <c:axId val="624355192"/>
        <c:axId val="0"/>
      </c:bar3DChart>
      <c:catAx>
        <c:axId val="624344368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24355192"/>
        <c:crosses val="autoZero"/>
        <c:auto val="1"/>
        <c:lblAlgn val="ctr"/>
        <c:lblOffset val="100"/>
        <c:noMultiLvlLbl val="0"/>
      </c:catAx>
      <c:valAx>
        <c:axId val="624355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2434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4964960629921262"/>
          <c:y val="0.87025481189851273"/>
          <c:w val="0.61736745406824145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>
      <a:gsLst>
        <a:gs pos="0">
          <a:srgbClr val="002060"/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path path="circle">
        <a:fillToRect l="50000" t="50000" r="50000" b="50000"/>
      </a:path>
    </a:gra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66CCFF"/>
                </a:solidFill>
              </a:rPr>
              <a:t>MEDIOS DE RESPUESTA  A</a:t>
            </a:r>
            <a:r>
              <a:rPr lang="en-US" baseline="0">
                <a:solidFill>
                  <a:srgbClr val="66CCFF"/>
                </a:solidFill>
              </a:rPr>
              <a:t> SOLICITUD DE INFORMACIÓN</a:t>
            </a:r>
            <a:endParaRPr lang="en-US">
              <a:solidFill>
                <a:srgbClr val="66CCFF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Hoja1!$K$1</c:f>
              <c:strCache>
                <c:ptCount val="1"/>
                <c:pt idx="0">
                  <c:v>MEDIO ELECTRONICO</c:v>
                </c:pt>
              </c:strCache>
            </c:strRef>
          </c:tx>
          <c:spPr>
            <a:solidFill>
              <a:srgbClr val="FF99FF"/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spPr>
              <a:gradFill flip="none" rotWithShape="1">
                <a:gsLst>
                  <a:gs pos="0">
                    <a:srgbClr val="C7099E"/>
                  </a:gs>
                  <a:gs pos="50000">
                    <a:srgbClr val="FF99FF">
                      <a:shade val="67500"/>
                      <a:satMod val="115000"/>
                    </a:srgbClr>
                  </a:gs>
                  <a:gs pos="100000">
                    <a:srgbClr val="FF99FF">
                      <a:shade val="100000"/>
                      <a:satMod val="115000"/>
                    </a:srgbClr>
                  </a:gs>
                </a:gsLst>
                <a:path path="circle">
                  <a:fillToRect l="50000" t="50000" r="50000" b="50000"/>
                </a:path>
                <a:tileRect/>
              </a:gradFill>
              <a:ln w="9525" cap="flat" cmpd="sng" algn="ctr">
                <a:solidFill>
                  <a:schemeClr val="accent1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066-4A27-9B12-E43794C38908}"/>
              </c:ext>
            </c:extLst>
          </c:dPt>
          <c:val>
            <c:numRef>
              <c:f>Hoja1!$K$2:$K$6</c:f>
              <c:numCache>
                <c:formatCode>General</c:formatCode>
                <c:ptCount val="2"/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66-4A27-9B12-E43794C38908}"/>
            </c:ext>
          </c:extLst>
        </c:ser>
        <c:ser>
          <c:idx val="1"/>
          <c:order val="1"/>
          <c:tx>
            <c:strRef>
              <c:f>Hoja1!$L$1</c:f>
              <c:strCache>
                <c:ptCount val="1"/>
                <c:pt idx="0">
                  <c:v>CORREO INSTITUCIONAL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val>
            <c:numRef>
              <c:f>Hoja1!$L$2:$L$6</c:f>
              <c:numCache>
                <c:formatCode>General</c:formatCode>
                <c:ptCount val="2"/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066-4A27-9B12-E43794C38908}"/>
            </c:ext>
          </c:extLst>
        </c:ser>
        <c:ser>
          <c:idx val="2"/>
          <c:order val="2"/>
          <c:tx>
            <c:strRef>
              <c:f>Hoja1!$M$1</c:f>
              <c:strCache>
                <c:ptCount val="1"/>
                <c:pt idx="0">
                  <c:v>OFICIO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val>
            <c:numRef>
              <c:f>Hoja1!$M$2:$M$6</c:f>
              <c:numCache>
                <c:formatCode>General</c:formatCode>
                <c:ptCount val="2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066-4A27-9B12-E43794C389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637692000"/>
        <c:axId val="637692656"/>
        <c:axId val="0"/>
      </c:bar3DChart>
      <c:catAx>
        <c:axId val="63769200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7692656"/>
        <c:crosses val="autoZero"/>
        <c:auto val="1"/>
        <c:lblAlgn val="ctr"/>
        <c:lblOffset val="100"/>
        <c:noMultiLvlLbl val="0"/>
      </c:catAx>
      <c:valAx>
        <c:axId val="637692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63769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accent1">
            <a:lumMod val="0"/>
            <a:lumOff val="100000"/>
          </a:schemeClr>
        </a:gs>
        <a:gs pos="35000">
          <a:schemeClr val="accent1">
            <a:lumMod val="0"/>
            <a:lumOff val="100000"/>
          </a:schemeClr>
        </a:gs>
        <a:gs pos="100000">
          <a:schemeClr val="accent1">
            <a:lumMod val="100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contraloria</cp:lastModifiedBy>
  <cp:revision>2</cp:revision>
  <dcterms:created xsi:type="dcterms:W3CDTF">2019-07-24T20:02:00Z</dcterms:created>
  <dcterms:modified xsi:type="dcterms:W3CDTF">2019-07-24T20:02:00Z</dcterms:modified>
</cp:coreProperties>
</file>